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17" w:rsidRPr="000C25E3" w:rsidRDefault="003E7B17" w:rsidP="003E7B17">
      <w:pPr>
        <w:spacing w:after="75" w:line="308" w:lineRule="atLeast"/>
        <w:jc w:val="center"/>
        <w:outlineLvl w:val="1"/>
        <w:rPr>
          <w:rFonts w:ascii="Times New Roman" w:eastAsia="Times New Roman" w:hAnsi="Times New Roman" w:cs="Times New Roman"/>
          <w:color w:val="0070C0"/>
          <w:sz w:val="36"/>
          <w:szCs w:val="36"/>
        </w:rPr>
      </w:pPr>
      <w:bookmarkStart w:id="0" w:name="_GoBack"/>
      <w:bookmarkEnd w:id="0"/>
      <w:r w:rsidRPr="000C25E3">
        <w:rPr>
          <w:rFonts w:ascii="Times New Roman" w:eastAsia="Times New Roman" w:hAnsi="Times New Roman" w:cs="Times New Roman"/>
          <w:color w:val="0070C0"/>
          <w:sz w:val="36"/>
          <w:szCs w:val="36"/>
        </w:rPr>
        <w:t>Graduate Survey Report</w:t>
      </w:r>
    </w:p>
    <w:p w:rsidR="003E7B17" w:rsidRPr="000C25E3" w:rsidRDefault="003E7B17" w:rsidP="003E7B17">
      <w:pPr>
        <w:spacing w:after="75" w:line="308" w:lineRule="atLeast"/>
        <w:jc w:val="center"/>
        <w:outlineLvl w:val="1"/>
        <w:rPr>
          <w:rFonts w:ascii="Times New Roman" w:eastAsia="Times New Roman" w:hAnsi="Times New Roman" w:cs="Times New Roman"/>
          <w:color w:val="0070C0"/>
          <w:sz w:val="36"/>
          <w:szCs w:val="36"/>
        </w:rPr>
      </w:pPr>
      <w:r w:rsidRPr="000C25E3">
        <w:rPr>
          <w:rFonts w:ascii="Times New Roman" w:eastAsia="Times New Roman" w:hAnsi="Times New Roman" w:cs="Times New Roman"/>
          <w:color w:val="0070C0"/>
          <w:sz w:val="36"/>
          <w:szCs w:val="36"/>
        </w:rPr>
        <w:t>Graduates of an Educator Preparation Program in Mississippi - (All Year)</w:t>
      </w:r>
    </w:p>
    <w:p w:rsidR="003E7B17" w:rsidRPr="000C25E3" w:rsidRDefault="003E7B17" w:rsidP="003E7B17">
      <w:pPr>
        <w:spacing w:after="240" w:line="292" w:lineRule="atLeast"/>
        <w:jc w:val="center"/>
        <w:rPr>
          <w:rFonts w:ascii="Times New Roman" w:eastAsia="Times New Roman" w:hAnsi="Times New Roman" w:cs="Times New Roman"/>
          <w:b/>
          <w:color w:val="C00000"/>
        </w:rPr>
      </w:pPr>
      <w:r w:rsidRPr="000C25E3">
        <w:rPr>
          <w:rFonts w:ascii="Times New Roman" w:eastAsia="Times New Roman" w:hAnsi="Times New Roman" w:cs="Times New Roman"/>
          <w:b/>
          <w:color w:val="C00000"/>
        </w:rPr>
        <w:t xml:space="preserve">Mississippi Valley State University 2021 </w:t>
      </w:r>
      <w:r w:rsidR="00276387" w:rsidRPr="000C25E3">
        <w:rPr>
          <w:rFonts w:ascii="Times New Roman" w:eastAsia="Times New Roman" w:hAnsi="Times New Roman" w:cs="Times New Roman"/>
          <w:b/>
          <w:color w:val="C00000"/>
        </w:rPr>
        <w:t>(3</w:t>
      </w:r>
      <w:r w:rsidRPr="000C25E3">
        <w:rPr>
          <w:rFonts w:ascii="Times New Roman" w:eastAsia="Times New Roman" w:hAnsi="Times New Roman" w:cs="Times New Roman"/>
          <w:b/>
          <w:color w:val="C00000"/>
        </w:rPr>
        <w:t xml:space="preserve"> year cycle)</w:t>
      </w:r>
    </w:p>
    <w:p w:rsidR="003E7B17" w:rsidRPr="000C25E3" w:rsidRDefault="003E7B17" w:rsidP="003E7B17">
      <w:pPr>
        <w:numPr>
          <w:ilvl w:val="0"/>
          <w:numId w:val="1"/>
        </w:numPr>
        <w:spacing w:after="0" w:line="240" w:lineRule="auto"/>
        <w:ind w:left="0"/>
        <w:rPr>
          <w:rFonts w:ascii="Times New Roman" w:eastAsia="Times New Roman" w:hAnsi="Times New Roman" w:cs="Times New Roman"/>
          <w:color w:val="444444"/>
          <w:sz w:val="27"/>
          <w:szCs w:val="27"/>
        </w:rPr>
      </w:pPr>
      <w:r w:rsidRPr="000C25E3">
        <w:rPr>
          <w:rFonts w:ascii="Times New Roman" w:eastAsia="Times New Roman" w:hAnsi="Times New Roman" w:cs="Times New Roman"/>
          <w:color w:val="000000"/>
          <w:sz w:val="27"/>
          <w:szCs w:val="27"/>
        </w:rPr>
        <w:t>Teacher Submissions:</w:t>
      </w:r>
      <w:r w:rsidRPr="000C25E3">
        <w:rPr>
          <w:rFonts w:ascii="Times New Roman" w:eastAsia="Times New Roman" w:hAnsi="Times New Roman" w:cs="Times New Roman"/>
          <w:b/>
          <w:color w:val="0070C0"/>
          <w:sz w:val="27"/>
          <w:szCs w:val="27"/>
        </w:rPr>
        <w:t>4</w:t>
      </w:r>
    </w:p>
    <w:p w:rsidR="003E7B17" w:rsidRPr="003E7B17" w:rsidRDefault="003E7B17" w:rsidP="003E7B17">
      <w:pPr>
        <w:numPr>
          <w:ilvl w:val="0"/>
          <w:numId w:val="1"/>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Number of Teacher submissions by Program:</w:t>
      </w:r>
    </w:p>
    <w:p w:rsidR="003E7B17" w:rsidRPr="000C25E3" w:rsidRDefault="003E7B17" w:rsidP="003E7B17">
      <w:pPr>
        <w:spacing w:after="0" w:line="240" w:lineRule="auto"/>
        <w:rPr>
          <w:rFonts w:ascii="Times New Roman" w:eastAsia="Times New Roman" w:hAnsi="Times New Roman" w:cs="Times New Roman"/>
          <w:b/>
          <w:color w:val="0070C0"/>
          <w:sz w:val="27"/>
          <w:szCs w:val="27"/>
        </w:rPr>
      </w:pPr>
      <w:r w:rsidRPr="000C25E3">
        <w:rPr>
          <w:rFonts w:ascii="Times New Roman" w:eastAsia="Times New Roman" w:hAnsi="Times New Roman" w:cs="Times New Roman"/>
          <w:b/>
          <w:color w:val="0070C0"/>
          <w:sz w:val="27"/>
          <w:szCs w:val="27"/>
        </w:rPr>
        <w:t>Elementary Education and Teaching =&gt; 3</w:t>
      </w:r>
    </w:p>
    <w:p w:rsidR="003E7B17" w:rsidRPr="000C25E3" w:rsidRDefault="003E7B17" w:rsidP="003E7B17">
      <w:pPr>
        <w:spacing w:after="0" w:line="240" w:lineRule="auto"/>
        <w:rPr>
          <w:rFonts w:ascii="Times New Roman" w:eastAsia="Times New Roman" w:hAnsi="Times New Roman" w:cs="Times New Roman"/>
          <w:b/>
          <w:color w:val="0070C0"/>
          <w:sz w:val="27"/>
          <w:szCs w:val="27"/>
        </w:rPr>
      </w:pPr>
      <w:r w:rsidRPr="000C25E3">
        <w:rPr>
          <w:rFonts w:ascii="Times New Roman" w:eastAsia="Times New Roman" w:hAnsi="Times New Roman" w:cs="Times New Roman"/>
          <w:b/>
          <w:color w:val="0070C0"/>
          <w:sz w:val="27"/>
          <w:szCs w:val="27"/>
        </w:rPr>
        <w:t>Secondary Education and Teaching =&gt; 1</w:t>
      </w:r>
    </w:p>
    <w:p w:rsidR="003E7B17" w:rsidRPr="003E7B17" w:rsidRDefault="003E7B17" w:rsidP="003E7B17">
      <w:pPr>
        <w:numPr>
          <w:ilvl w:val="0"/>
          <w:numId w:val="1"/>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Area(s) of Endorsements Submitted by Teachers:</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 xml:space="preserve">181 Biology </w:t>
      </w:r>
      <w:proofErr w:type="gramStart"/>
      <w:r w:rsidRPr="003E7B17">
        <w:rPr>
          <w:rFonts w:ascii="Times New Roman" w:eastAsia="Times New Roman" w:hAnsi="Times New Roman" w:cs="Times New Roman"/>
          <w:color w:val="444444"/>
          <w:sz w:val="27"/>
          <w:szCs w:val="27"/>
        </w:rPr>
        <w:t>Education</w:t>
      </w:r>
      <w:proofErr w:type="gramEnd"/>
      <w:r w:rsidRPr="003E7B17">
        <w:rPr>
          <w:rFonts w:ascii="Times New Roman" w:eastAsia="Times New Roman" w:hAnsi="Times New Roman" w:cs="Times New Roman"/>
          <w:color w:val="444444"/>
          <w:sz w:val="27"/>
          <w:szCs w:val="27"/>
        </w:rPr>
        <w:t xml:space="preserve">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119 English =&gt; 2</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No Endorsements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192 Social Studies =&gt; 1</w:t>
      </w:r>
    </w:p>
    <w:p w:rsidR="003E7B17" w:rsidRPr="003E7B17" w:rsidRDefault="003E7B17" w:rsidP="003E7B17">
      <w:pPr>
        <w:numPr>
          <w:ilvl w:val="0"/>
          <w:numId w:val="1"/>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Masters Enrollment submitted by Teachers:</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Yes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No =&gt; 3</w:t>
      </w:r>
    </w:p>
    <w:p w:rsidR="003E7B17" w:rsidRPr="003E7B17" w:rsidRDefault="003E7B17" w:rsidP="003E7B17">
      <w:pPr>
        <w:numPr>
          <w:ilvl w:val="0"/>
          <w:numId w:val="1"/>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Current Teaching Assignments by Teachers:</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4-6 =&gt; 1</w:t>
      </w:r>
    </w:p>
    <w:p w:rsid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Science =&gt; 2</w:t>
      </w:r>
    </w:p>
    <w:p w:rsidR="003E7B17" w:rsidRDefault="003E7B17" w:rsidP="003E7B17">
      <w:pPr>
        <w:spacing w:after="0" w:line="240" w:lineRule="auto"/>
        <w:rPr>
          <w:rFonts w:ascii="Times New Roman" w:eastAsia="Times New Roman" w:hAnsi="Times New Roman" w:cs="Times New Roman"/>
          <w:color w:val="444444"/>
          <w:sz w:val="27"/>
          <w:szCs w:val="27"/>
        </w:rPr>
      </w:pP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7-9 =&gt; 1 English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K-12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Physical Education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K-3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Social Studies/History/Geography/ Government/Economics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Mathematics =&gt; 1</w:t>
      </w:r>
    </w:p>
    <w:p w:rsidR="003E7B17" w:rsidRP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Language Arts/Spelling/Writing =&gt; 1</w:t>
      </w:r>
    </w:p>
    <w:p w:rsidR="003E7B17" w:rsidRDefault="003E7B17" w:rsidP="003E7B17">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Health =&gt; 1</w:t>
      </w:r>
    </w:p>
    <w:p w:rsidR="000C25E3" w:rsidRDefault="000C25E3" w:rsidP="003E7B17">
      <w:pPr>
        <w:spacing w:after="0" w:line="240" w:lineRule="auto"/>
        <w:rPr>
          <w:rFonts w:ascii="Times New Roman" w:eastAsia="Times New Roman" w:hAnsi="Times New Roman" w:cs="Times New Roman"/>
          <w:color w:val="444444"/>
          <w:sz w:val="27"/>
          <w:szCs w:val="27"/>
        </w:rPr>
      </w:pPr>
    </w:p>
    <w:p w:rsidR="003E7B17" w:rsidRPr="000C25E3" w:rsidRDefault="003E7B17" w:rsidP="003E7B17">
      <w:pPr>
        <w:spacing w:after="0" w:line="240" w:lineRule="auto"/>
        <w:ind w:left="-360"/>
        <w:jc w:val="center"/>
        <w:rPr>
          <w:rFonts w:ascii="Times New Roman" w:eastAsia="Times New Roman" w:hAnsi="Times New Roman" w:cs="Times New Roman"/>
          <w:color w:val="C00000"/>
          <w:sz w:val="28"/>
          <w:szCs w:val="28"/>
        </w:rPr>
      </w:pPr>
      <w:r w:rsidRPr="000C25E3">
        <w:rPr>
          <w:rFonts w:ascii="Times New Roman" w:eastAsia="Times New Roman" w:hAnsi="Times New Roman" w:cs="Times New Roman"/>
          <w:b/>
          <w:bCs/>
          <w:color w:val="C00000"/>
          <w:sz w:val="28"/>
          <w:szCs w:val="28"/>
        </w:rPr>
        <w:lastRenderedPageBreak/>
        <w:t>Survey Results for Teachers:</w:t>
      </w:r>
    </w:p>
    <w:p w:rsidR="003E7B17" w:rsidRPr="000C25E3" w:rsidRDefault="003E7B17" w:rsidP="003E7B17">
      <w:pPr>
        <w:spacing w:after="0" w:line="240" w:lineRule="auto"/>
        <w:rPr>
          <w:rFonts w:ascii="Times New Roman" w:eastAsia="Times New Roman" w:hAnsi="Times New Roman" w:cs="Times New Roman"/>
          <w:color w:val="444444"/>
          <w:sz w:val="24"/>
          <w:szCs w:val="24"/>
        </w:rPr>
      </w:pPr>
    </w:p>
    <w:p w:rsidR="003E7B17" w:rsidRPr="000C25E3" w:rsidRDefault="002200D5" w:rsidP="003E7B17">
      <w:pPr>
        <w:spacing w:after="0" w:line="240" w:lineRule="auto"/>
        <w:rPr>
          <w:rFonts w:ascii="Times New Roman" w:eastAsia="Times New Roman" w:hAnsi="Times New Roman" w:cs="Times New Roman"/>
          <w:b/>
          <w:color w:val="FF0000"/>
          <w:sz w:val="28"/>
          <w:szCs w:val="28"/>
        </w:rPr>
      </w:pPr>
      <w:proofErr w:type="gramStart"/>
      <w:r w:rsidRPr="000C25E3">
        <w:rPr>
          <w:rFonts w:ascii="Times New Roman" w:eastAsia="Times New Roman" w:hAnsi="Times New Roman" w:cs="Times New Roman"/>
          <w:b/>
          <w:color w:val="FF0000"/>
          <w:sz w:val="28"/>
          <w:szCs w:val="28"/>
        </w:rPr>
        <w:t>content</w:t>
      </w:r>
      <w:proofErr w:type="gramEnd"/>
    </w:p>
    <w:tbl>
      <w:tblPr>
        <w:tblpPr w:leftFromText="180" w:rightFromText="180" w:vertAnchor="text" w:horzAnchor="page" w:tblpX="271" w:tblpY="-2"/>
        <w:tblW w:w="1467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8494"/>
        <w:gridCol w:w="1251"/>
        <w:gridCol w:w="1073"/>
        <w:gridCol w:w="940"/>
        <w:gridCol w:w="2912"/>
      </w:tblGrid>
      <w:tr w:rsidR="003E7B17" w:rsidRPr="000C25E3" w:rsidTr="003E7B17">
        <w:trPr>
          <w:gridAfter w:val="4"/>
          <w:wAfter w:w="5970" w:type="dxa"/>
          <w:trHeight w:val="559"/>
          <w:tblHeader/>
        </w:trPr>
        <w:tc>
          <w:tcPr>
            <w:tcW w:w="8700" w:type="dxa"/>
            <w:tcBorders>
              <w:top w:val="nil"/>
              <w:left w:val="nil"/>
              <w:bottom w:val="nil"/>
              <w:right w:val="nil"/>
            </w:tcBorders>
            <w:shd w:val="clear" w:color="auto" w:fill="E6E6E6"/>
            <w:tcMar>
              <w:top w:w="90" w:type="dxa"/>
              <w:left w:w="90" w:type="dxa"/>
              <w:bottom w:w="90" w:type="dxa"/>
              <w:right w:w="90" w:type="dxa"/>
            </w:tcMar>
            <w:vAlign w:val="center"/>
            <w:hideMark/>
          </w:tcPr>
          <w:p w:rsidR="003E7B17" w:rsidRPr="000C25E3" w:rsidRDefault="003E7B17" w:rsidP="003E7B17">
            <w:pPr>
              <w:spacing w:after="216" w:line="308" w:lineRule="atLeast"/>
              <w:rPr>
                <w:rFonts w:ascii="Times New Roman" w:eastAsia="Times New Roman" w:hAnsi="Times New Roman" w:cs="Times New Roman"/>
                <w:b/>
                <w:bCs/>
                <w:color w:val="222222"/>
                <w:sz w:val="24"/>
                <w:szCs w:val="24"/>
              </w:rPr>
            </w:pPr>
            <w:r w:rsidRPr="000C25E3">
              <w:rPr>
                <w:rFonts w:ascii="Times New Roman" w:eastAsia="Times New Roman" w:hAnsi="Times New Roman" w:cs="Times New Roman"/>
                <w:b/>
                <w:bCs/>
                <w:color w:val="FF0000"/>
                <w:sz w:val="24"/>
                <w:szCs w:val="24"/>
              </w:rPr>
              <w:t>The Learner and Learning</w:t>
            </w:r>
          </w:p>
        </w:tc>
      </w:tr>
      <w:tr w:rsidR="003E7B17" w:rsidRPr="000C25E3" w:rsidTr="003E7B17">
        <w:trPr>
          <w:trHeight w:val="473"/>
          <w:tblHeader/>
        </w:trPr>
        <w:tc>
          <w:tcPr>
            <w:tcW w:w="8700"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257"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92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814"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2974"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3E7B17" w:rsidRPr="000C25E3" w:rsidTr="003E7B17">
        <w:trPr>
          <w:trHeight w:val="1204"/>
        </w:trPr>
        <w:tc>
          <w:tcPr>
            <w:tcW w:w="870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knowledge of student backgrounds, interests, experiences, and prior knowledge (e.g., multicultural perspectives, pretests, interest inventories, surveys, and KWLs) to make instruction relevant and meaningful to diverse learners and positively impact K-12 student learning.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2, TGR 2, TIAI 2)</w:t>
            </w:r>
          </w:p>
        </w:tc>
        <w:tc>
          <w:tcPr>
            <w:tcW w:w="125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92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1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297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3E7B17" w:rsidRPr="000C25E3" w:rsidTr="003E7B17">
        <w:trPr>
          <w:trHeight w:val="1182"/>
        </w:trPr>
        <w:tc>
          <w:tcPr>
            <w:tcW w:w="870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analyze</w:t>
            </w:r>
            <w:proofErr w:type="gramEnd"/>
            <w:r w:rsidRPr="000C25E3">
              <w:rPr>
                <w:rFonts w:ascii="Times New Roman" w:eastAsia="Times New Roman" w:hAnsi="Times New Roman" w:cs="Times New Roman"/>
                <w:b/>
                <w:bCs/>
                <w:i/>
                <w:iCs/>
                <w:sz w:val="24"/>
                <w:szCs w:val="24"/>
              </w:rPr>
              <w:t xml:space="preserve"> multiple sources of growth data (e.g., pre/post </w:t>
            </w:r>
            <w:proofErr w:type="spellStart"/>
            <w:r w:rsidRPr="000C25E3">
              <w:rPr>
                <w:rFonts w:ascii="Times New Roman" w:eastAsia="Times New Roman" w:hAnsi="Times New Roman" w:cs="Times New Roman"/>
                <w:b/>
                <w:bCs/>
                <w:i/>
                <w:iCs/>
                <w:sz w:val="24"/>
                <w:szCs w:val="24"/>
              </w:rPr>
              <w:t>assessments,surveys</w:t>
            </w:r>
            <w:proofErr w:type="spellEnd"/>
            <w:r w:rsidRPr="000C25E3">
              <w:rPr>
                <w:rFonts w:ascii="Times New Roman" w:eastAsia="Times New Roman" w:hAnsi="Times New Roman" w:cs="Times New Roman"/>
                <w:b/>
                <w:bCs/>
                <w:i/>
                <w:iCs/>
                <w:sz w:val="24"/>
                <w:szCs w:val="24"/>
              </w:rPr>
              <w:t xml:space="preserve">, inventories, remediation and enrichment activities) to provide differentiated learning experiences to accommodate developmental and individual needs of diverse learners and positively impact K-12 student learning.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6, TGR 3, TIAI 8)</w:t>
            </w:r>
          </w:p>
        </w:tc>
        <w:tc>
          <w:tcPr>
            <w:tcW w:w="125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92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1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4 (100%)</w:t>
            </w:r>
          </w:p>
        </w:tc>
        <w:tc>
          <w:tcPr>
            <w:tcW w:w="297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3E7B17" w:rsidRPr="000C25E3" w:rsidTr="003E7B17">
        <w:trPr>
          <w:trHeight w:val="730"/>
        </w:trPr>
        <w:tc>
          <w:tcPr>
            <w:tcW w:w="870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monitor</w:t>
            </w:r>
            <w:proofErr w:type="gramEnd"/>
            <w:r w:rsidRPr="000C25E3">
              <w:rPr>
                <w:rFonts w:ascii="Times New Roman" w:eastAsia="Times New Roman" w:hAnsi="Times New Roman" w:cs="Times New Roman"/>
                <w:b/>
                <w:bCs/>
                <w:i/>
                <w:iCs/>
                <w:sz w:val="24"/>
                <w:szCs w:val="24"/>
              </w:rPr>
              <w:t xml:space="preserve"> and adjust the classroom environment to enhance social relationships, individual motivation, and student learning outcomes.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3, TGR 5, TIAI 20)</w:t>
            </w:r>
          </w:p>
        </w:tc>
        <w:tc>
          <w:tcPr>
            <w:tcW w:w="125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92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1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4 (100%)</w:t>
            </w:r>
          </w:p>
        </w:tc>
        <w:tc>
          <w:tcPr>
            <w:tcW w:w="297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3E7B17" w:rsidRPr="000C25E3" w:rsidTr="003E7B17">
        <w:trPr>
          <w:trHeight w:val="946"/>
        </w:trPr>
        <w:tc>
          <w:tcPr>
            <w:tcW w:w="870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a variety of strategies to effectively manage student behavior to create and maintain a classroom climate of fairness, safety, respect, and support for all students.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3, TGR 7, TIAI 23)</w:t>
            </w:r>
          </w:p>
        </w:tc>
        <w:tc>
          <w:tcPr>
            <w:tcW w:w="125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92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1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297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bl>
    <w:p w:rsidR="003E7B17" w:rsidRPr="000C25E3" w:rsidRDefault="003E7B17" w:rsidP="003E7B17">
      <w:pPr>
        <w:numPr>
          <w:ilvl w:val="0"/>
          <w:numId w:val="1"/>
        </w:numPr>
        <w:spacing w:after="0" w:line="240" w:lineRule="auto"/>
        <w:ind w:left="0"/>
        <w:rPr>
          <w:rFonts w:ascii="Times New Roman" w:eastAsia="Times New Roman" w:hAnsi="Times New Roman" w:cs="Times New Roman"/>
          <w:vanish/>
          <w:color w:val="000000"/>
          <w:sz w:val="24"/>
          <w:szCs w:val="24"/>
        </w:rPr>
      </w:pPr>
    </w:p>
    <w:p w:rsidR="003E7B17" w:rsidRPr="000C25E3" w:rsidRDefault="003E7B17" w:rsidP="003E7B17">
      <w:pPr>
        <w:spacing w:after="0" w:line="240" w:lineRule="auto"/>
        <w:rPr>
          <w:rFonts w:ascii="Times New Roman" w:eastAsia="Times New Roman" w:hAnsi="Times New Roman" w:cs="Times New Roman"/>
          <w:color w:val="000000"/>
          <w:sz w:val="24"/>
          <w:szCs w:val="24"/>
        </w:rPr>
      </w:pPr>
    </w:p>
    <w:p w:rsidR="003E7B17" w:rsidRPr="000C25E3" w:rsidRDefault="003E7B17" w:rsidP="003E7B17">
      <w:pPr>
        <w:spacing w:after="0" w:line="240" w:lineRule="auto"/>
        <w:rPr>
          <w:rFonts w:ascii="Times New Roman" w:eastAsia="Times New Roman" w:hAnsi="Times New Roman" w:cs="Times New Roman"/>
          <w:color w:val="000000"/>
          <w:sz w:val="24"/>
          <w:szCs w:val="24"/>
        </w:rPr>
      </w:pPr>
    </w:p>
    <w:p w:rsidR="003E7B17" w:rsidRPr="000C25E3" w:rsidRDefault="003E7B17" w:rsidP="003E7B17">
      <w:pPr>
        <w:numPr>
          <w:ilvl w:val="0"/>
          <w:numId w:val="1"/>
        </w:numPr>
        <w:spacing w:after="0" w:line="240" w:lineRule="auto"/>
        <w:ind w:left="0"/>
        <w:rPr>
          <w:rFonts w:ascii="Times New Roman" w:eastAsia="Times New Roman" w:hAnsi="Times New Roman" w:cs="Times New Roman"/>
          <w:vanish/>
          <w:color w:val="000000"/>
          <w:sz w:val="24"/>
          <w:szCs w:val="24"/>
        </w:rPr>
      </w:pPr>
    </w:p>
    <w:tbl>
      <w:tblPr>
        <w:tblW w:w="15564" w:type="dxa"/>
        <w:tblInd w:w="-117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90"/>
        <w:gridCol w:w="10069"/>
        <w:gridCol w:w="1365"/>
        <w:gridCol w:w="1365"/>
        <w:gridCol w:w="1298"/>
        <w:gridCol w:w="1358"/>
        <w:gridCol w:w="19"/>
      </w:tblGrid>
      <w:tr w:rsidR="003E7B17" w:rsidRPr="000C25E3" w:rsidTr="003E7B17">
        <w:trPr>
          <w:trHeight w:val="146"/>
          <w:tblHeader/>
        </w:trPr>
        <w:tc>
          <w:tcPr>
            <w:tcW w:w="15564" w:type="dxa"/>
            <w:gridSpan w:val="7"/>
            <w:tcBorders>
              <w:top w:val="nil"/>
              <w:left w:val="nil"/>
              <w:bottom w:val="nil"/>
              <w:right w:val="nil"/>
            </w:tcBorders>
            <w:shd w:val="clear" w:color="auto" w:fill="E6E6E6"/>
            <w:tcMar>
              <w:top w:w="90" w:type="dxa"/>
              <w:left w:w="90" w:type="dxa"/>
              <w:bottom w:w="90" w:type="dxa"/>
              <w:right w:w="90" w:type="dxa"/>
            </w:tcMar>
            <w:vAlign w:val="center"/>
            <w:hideMark/>
          </w:tcPr>
          <w:p w:rsidR="003E7B17" w:rsidRPr="000C25E3" w:rsidRDefault="003E7B17" w:rsidP="000555EC">
            <w:pPr>
              <w:spacing w:after="216" w:line="308" w:lineRule="atLeast"/>
              <w:rPr>
                <w:rFonts w:ascii="Times New Roman" w:eastAsia="Times New Roman" w:hAnsi="Times New Roman" w:cs="Times New Roman"/>
                <w:b/>
                <w:bCs/>
                <w:color w:val="222222"/>
                <w:sz w:val="24"/>
                <w:szCs w:val="24"/>
              </w:rPr>
            </w:pPr>
          </w:p>
        </w:tc>
      </w:tr>
      <w:tr w:rsidR="003E7B17" w:rsidRPr="000C25E3" w:rsidTr="003E7B17">
        <w:trPr>
          <w:gridAfter w:val="1"/>
          <w:wAfter w:w="19" w:type="dxa"/>
          <w:trHeight w:val="496"/>
          <w:tblHeader/>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2200D5" w:rsidRPr="000C25E3" w:rsidRDefault="002200D5" w:rsidP="002200D5">
            <w:pPr>
              <w:spacing w:after="216" w:line="240" w:lineRule="auto"/>
              <w:rPr>
                <w:rFonts w:ascii="Times New Roman" w:eastAsia="Times New Roman" w:hAnsi="Times New Roman" w:cs="Times New Roman"/>
                <w:b/>
                <w:bCs/>
                <w:i/>
                <w:iCs/>
                <w:color w:val="FF0000"/>
                <w:sz w:val="24"/>
                <w:szCs w:val="24"/>
              </w:rPr>
            </w:pPr>
          </w:p>
          <w:p w:rsidR="003E7B17" w:rsidRPr="000C25E3" w:rsidRDefault="003E7B17" w:rsidP="000555EC">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36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136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1298"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1358"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3E7B17" w:rsidRPr="000C25E3" w:rsidTr="003E7B17">
        <w:trPr>
          <w:gridAfter w:val="1"/>
          <w:wAfter w:w="19" w:type="dxa"/>
          <w:trHeight w:val="785"/>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0555EC">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demonstrate</w:t>
            </w:r>
            <w:proofErr w:type="gramEnd"/>
            <w:r w:rsidRPr="000C25E3">
              <w:rPr>
                <w:rFonts w:ascii="Times New Roman" w:eastAsia="Times New Roman" w:hAnsi="Times New Roman" w:cs="Times New Roman"/>
                <w:b/>
                <w:bCs/>
                <w:i/>
                <w:iCs/>
                <w:sz w:val="24"/>
                <w:szCs w:val="24"/>
              </w:rPr>
              <w:t xml:space="preserve"> in-depth knowledge of content for the subject(s) taught.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4, TGR 4, TIAI 14)</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29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35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3E7B17" w:rsidRPr="000C25E3" w:rsidTr="003E7B17">
        <w:trPr>
          <w:gridAfter w:val="1"/>
          <w:wAfter w:w="19" w:type="dxa"/>
          <w:trHeight w:val="764"/>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0555EC">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integrate</w:t>
            </w:r>
            <w:proofErr w:type="gramEnd"/>
            <w:r w:rsidRPr="000C25E3">
              <w:rPr>
                <w:rFonts w:ascii="Times New Roman" w:eastAsia="Times New Roman" w:hAnsi="Times New Roman" w:cs="Times New Roman"/>
                <w:b/>
                <w:bCs/>
                <w:i/>
                <w:iCs/>
                <w:sz w:val="24"/>
                <w:szCs w:val="24"/>
              </w:rPr>
              <w:t xml:space="preserve"> core content knowledge from other subject areas in lessons.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4, TGR 4, TIAI 3)</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35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3E7B17" w:rsidRPr="000C25E3" w:rsidTr="003E7B17">
        <w:trPr>
          <w:gridAfter w:val="1"/>
          <w:wAfter w:w="19" w:type="dxa"/>
          <w:trHeight w:val="1053"/>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0555EC">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higher-order questioning to engage students in analytical, creative, and critical thinking, providing opportunities for students to apply these skills in problem solving and critical thinking activities.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5, TGR 4, TIAI 17)</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29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35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0555EC">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3E7B17" w:rsidRPr="000C25E3" w:rsidTr="003E7B17">
        <w:trPr>
          <w:trHeight w:val="146"/>
          <w:tblHeader/>
        </w:trPr>
        <w:tc>
          <w:tcPr>
            <w:tcW w:w="15564" w:type="dxa"/>
            <w:gridSpan w:val="7"/>
            <w:tcBorders>
              <w:top w:val="nil"/>
              <w:left w:val="nil"/>
              <w:bottom w:val="nil"/>
              <w:right w:val="nil"/>
            </w:tcBorders>
            <w:shd w:val="clear" w:color="auto" w:fill="E6E6E6"/>
            <w:tcMar>
              <w:top w:w="90" w:type="dxa"/>
              <w:left w:w="90" w:type="dxa"/>
              <w:bottom w:w="90" w:type="dxa"/>
              <w:right w:w="90" w:type="dxa"/>
            </w:tcMar>
            <w:vAlign w:val="center"/>
            <w:hideMark/>
          </w:tcPr>
          <w:p w:rsidR="003E7B17" w:rsidRPr="000C25E3" w:rsidRDefault="003E7B17" w:rsidP="003E7B17">
            <w:pPr>
              <w:spacing w:after="216" w:line="308" w:lineRule="atLeast"/>
              <w:rPr>
                <w:rFonts w:ascii="Times New Roman" w:eastAsia="Times New Roman" w:hAnsi="Times New Roman" w:cs="Times New Roman"/>
                <w:b/>
                <w:bCs/>
                <w:color w:val="222222"/>
                <w:sz w:val="24"/>
                <w:szCs w:val="24"/>
              </w:rPr>
            </w:pPr>
            <w:r w:rsidRPr="000C25E3">
              <w:rPr>
                <w:rFonts w:ascii="Times New Roman" w:eastAsia="Times New Roman" w:hAnsi="Times New Roman" w:cs="Times New Roman"/>
                <w:b/>
                <w:bCs/>
                <w:color w:val="FF0000"/>
                <w:sz w:val="24"/>
                <w:szCs w:val="24"/>
              </w:rPr>
              <w:t>Instructional Practices</w:t>
            </w:r>
          </w:p>
        </w:tc>
      </w:tr>
      <w:tr w:rsidR="003E7B17" w:rsidRPr="000C25E3" w:rsidTr="003E7B17">
        <w:trPr>
          <w:trHeight w:val="146"/>
          <w:tblHeader/>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36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136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1298"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3E7B17" w:rsidRPr="000C25E3" w:rsidTr="003E7B17">
        <w:trPr>
          <w:trHeight w:val="146"/>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select</w:t>
            </w:r>
            <w:proofErr w:type="gramEnd"/>
            <w:r w:rsidRPr="000C25E3">
              <w:rPr>
                <w:rFonts w:ascii="Times New Roman" w:eastAsia="Times New Roman" w:hAnsi="Times New Roman" w:cs="Times New Roman"/>
                <w:b/>
                <w:bCs/>
                <w:i/>
                <w:iCs/>
                <w:sz w:val="24"/>
                <w:szCs w:val="24"/>
              </w:rPr>
              <w:t xml:space="preserve"> developmentally appropriate, performance-based objectives that connect core content knowledge for lessons based on State and National Standards.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7, TGR 1, TIAI 1)</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3E7B17" w:rsidRPr="000C25E3" w:rsidTr="003E7B17">
        <w:trPr>
          <w:trHeight w:val="146"/>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lastRenderedPageBreak/>
              <w:t>plan</w:t>
            </w:r>
            <w:proofErr w:type="gramEnd"/>
            <w:r w:rsidRPr="000C25E3">
              <w:rPr>
                <w:rFonts w:ascii="Times New Roman" w:eastAsia="Times New Roman" w:hAnsi="Times New Roman" w:cs="Times New Roman"/>
                <w:b/>
                <w:bCs/>
                <w:i/>
                <w:iCs/>
                <w:sz w:val="24"/>
                <w:szCs w:val="24"/>
              </w:rPr>
              <w:t xml:space="preserve"> lessons based on rigorous standards and best practices in the use of innovative and interesting methodologies, a variety of relevant teaching materials and current technology.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8, TGR 2, TIAI 4)</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3E7B17" w:rsidRPr="000C25E3" w:rsidTr="003E7B17">
        <w:trPr>
          <w:trHeight w:val="146"/>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ind w:left="180"/>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a variety of appropriate teaching strategies (e.g., cooperative learning, discovery learning, demonstration, discussion, inquiry, interactive learning, simulation, etc.) to enhance student learning outcomes.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8, TGR 4, TIAI 15)</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3E7B17" w:rsidRPr="000C25E3" w:rsidTr="003E7B17">
        <w:trPr>
          <w:trHeight w:val="146"/>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available technology to design, implement, and assess learning experiences to engage students, improve learning, and enrich professional practice. (CAEP 1.5,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7, TGR 6, TIAI 6)</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3E7B17" w:rsidRPr="000C25E3" w:rsidTr="003E7B17">
        <w:trPr>
          <w:trHeight w:val="146"/>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elicit</w:t>
            </w:r>
            <w:proofErr w:type="gramEnd"/>
            <w:r w:rsidRPr="000C25E3">
              <w:rPr>
                <w:rFonts w:ascii="Times New Roman" w:eastAsia="Times New Roman" w:hAnsi="Times New Roman" w:cs="Times New Roman"/>
                <w:b/>
                <w:bCs/>
                <w:i/>
                <w:iCs/>
                <w:sz w:val="24"/>
                <w:szCs w:val="24"/>
              </w:rPr>
              <w:t xml:space="preserve"> student input during lessons and allow sufficient wait time for students to expand and support their responses, making adjustments to lessons according to student input, cues, and individual/group responses.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8, TGR 4, TIAI 18)</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3E7B17" w:rsidRPr="000C25E3" w:rsidTr="003E7B17">
        <w:trPr>
          <w:trHeight w:val="1357"/>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incorporate</w:t>
            </w:r>
            <w:proofErr w:type="gramEnd"/>
            <w:r w:rsidRPr="000C25E3">
              <w:rPr>
                <w:rFonts w:ascii="Times New Roman" w:eastAsia="Times New Roman" w:hAnsi="Times New Roman" w:cs="Times New Roman"/>
                <w:b/>
                <w:bCs/>
                <w:i/>
                <w:iCs/>
                <w:sz w:val="24"/>
                <w:szCs w:val="24"/>
              </w:rPr>
              <w:t xml:space="preserve"> a variety of </w:t>
            </w:r>
            <w:r w:rsidRPr="000C25E3">
              <w:rPr>
                <w:rFonts w:ascii="Times New Roman" w:eastAsia="Times New Roman" w:hAnsi="Times New Roman" w:cs="Times New Roman"/>
                <w:b/>
                <w:bCs/>
                <w:i/>
                <w:iCs/>
                <w:sz w:val="24"/>
                <w:szCs w:val="24"/>
                <w:u w:val="single"/>
              </w:rPr>
              <w:t>informal and formal</w:t>
            </w:r>
            <w:r w:rsidRPr="000C25E3">
              <w:rPr>
                <w:rFonts w:ascii="Times New Roman" w:eastAsia="Times New Roman" w:hAnsi="Times New Roman" w:cs="Times New Roman"/>
                <w:b/>
                <w:bCs/>
                <w:i/>
                <w:iCs/>
                <w:sz w:val="24"/>
                <w:szCs w:val="24"/>
              </w:rPr>
              <w:t xml:space="preserve"> assessments (ex. – pre/post assessments, quizzes, unit tests, checklists, rating scales, rubrics, remediation and enrichment activities) to differentiate learning experiences that accommodate individual differences in developmental and/or educational needs.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6, TGR 3, TIAI 5)</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3E7B17" w:rsidRPr="000C25E3" w:rsidTr="003E7B17">
        <w:trPr>
          <w:gridBefore w:val="1"/>
          <w:wBefore w:w="90" w:type="dxa"/>
          <w:trHeight w:val="1086"/>
        </w:trPr>
        <w:tc>
          <w:tcPr>
            <w:tcW w:w="10069"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lastRenderedPageBreak/>
              <w:t>prepare</w:t>
            </w:r>
            <w:proofErr w:type="gramEnd"/>
            <w:r w:rsidRPr="000C25E3">
              <w:rPr>
                <w:rFonts w:ascii="Times New Roman" w:eastAsia="Times New Roman" w:hAnsi="Times New Roman" w:cs="Times New Roman"/>
                <w:b/>
                <w:bCs/>
                <w:i/>
                <w:iCs/>
                <w:sz w:val="24"/>
                <w:szCs w:val="24"/>
              </w:rPr>
              <w:t xml:space="preserve"> appropriate assessments (e.g., pre/post assessments, quizzes, unit tests, rubrics, and/or checklists) based on core content knowledge to effectively evaluate learner progress. (CAEP 1.2,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6, TGR 3, TIAI 7)</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29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3E7B17" w:rsidRPr="000C25E3" w:rsidTr="003E7B17">
        <w:trPr>
          <w:trHeight w:val="772"/>
        </w:trPr>
        <w:tc>
          <w:tcPr>
            <w:tcW w:w="10159"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provide</w:t>
            </w:r>
            <w:proofErr w:type="gramEnd"/>
            <w:r w:rsidRPr="000C25E3">
              <w:rPr>
                <w:rFonts w:ascii="Times New Roman" w:eastAsia="Times New Roman" w:hAnsi="Times New Roman" w:cs="Times New Roman"/>
                <w:b/>
                <w:bCs/>
                <w:i/>
                <w:iCs/>
                <w:sz w:val="24"/>
                <w:szCs w:val="24"/>
              </w:rPr>
              <w:t xml:space="preserve"> an inclusion classroom setting that addresses the full spectrum of student needs (severe learning disabilities to gifted).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3, TGR 5, TIAI 13)</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29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377"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bl>
    <w:p w:rsidR="003E7B17" w:rsidRPr="000C25E3" w:rsidRDefault="003E7B17" w:rsidP="003E7B17">
      <w:pPr>
        <w:numPr>
          <w:ilvl w:val="0"/>
          <w:numId w:val="1"/>
        </w:numPr>
        <w:spacing w:after="0" w:line="240" w:lineRule="auto"/>
        <w:ind w:left="0"/>
        <w:rPr>
          <w:rFonts w:ascii="Times New Roman" w:eastAsia="Times New Roman" w:hAnsi="Times New Roman" w:cs="Times New Roman"/>
          <w:vanish/>
          <w:color w:val="000000"/>
          <w:sz w:val="24"/>
          <w:szCs w:val="24"/>
        </w:rPr>
      </w:pPr>
    </w:p>
    <w:p w:rsidR="003E7B17" w:rsidRPr="000C25E3" w:rsidRDefault="003E7B17" w:rsidP="003E7B17">
      <w:pPr>
        <w:spacing w:after="0" w:line="240" w:lineRule="auto"/>
        <w:ind w:left="-360"/>
        <w:rPr>
          <w:rFonts w:ascii="Times New Roman" w:eastAsia="Times New Roman" w:hAnsi="Times New Roman" w:cs="Times New Roman"/>
          <w:color w:val="000000"/>
          <w:sz w:val="24"/>
          <w:szCs w:val="24"/>
        </w:rPr>
      </w:pPr>
    </w:p>
    <w:tbl>
      <w:tblPr>
        <w:tblW w:w="15696" w:type="dxa"/>
        <w:tblInd w:w="-126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7846"/>
        <w:gridCol w:w="1962"/>
        <w:gridCol w:w="1962"/>
        <w:gridCol w:w="1962"/>
        <w:gridCol w:w="1964"/>
      </w:tblGrid>
      <w:tr w:rsidR="003E7B17" w:rsidRPr="000C25E3" w:rsidTr="003E7B17">
        <w:trPr>
          <w:trHeight w:val="562"/>
          <w:tblHeader/>
        </w:trPr>
        <w:tc>
          <w:tcPr>
            <w:tcW w:w="15696" w:type="dxa"/>
            <w:gridSpan w:val="5"/>
            <w:tcBorders>
              <w:top w:val="nil"/>
              <w:left w:val="nil"/>
              <w:bottom w:val="nil"/>
              <w:right w:val="nil"/>
            </w:tcBorders>
            <w:shd w:val="clear" w:color="auto" w:fill="E6E6E6"/>
            <w:tcMar>
              <w:top w:w="90" w:type="dxa"/>
              <w:left w:w="90" w:type="dxa"/>
              <w:bottom w:w="90" w:type="dxa"/>
              <w:right w:w="90" w:type="dxa"/>
            </w:tcMar>
            <w:vAlign w:val="center"/>
            <w:hideMark/>
          </w:tcPr>
          <w:p w:rsidR="003E7B17" w:rsidRPr="000C25E3" w:rsidRDefault="003E7B17" w:rsidP="003E7B17">
            <w:pPr>
              <w:spacing w:after="216" w:line="308" w:lineRule="atLeast"/>
              <w:rPr>
                <w:rFonts w:ascii="Times New Roman" w:eastAsia="Times New Roman" w:hAnsi="Times New Roman" w:cs="Times New Roman"/>
                <w:b/>
                <w:bCs/>
                <w:color w:val="222222"/>
                <w:sz w:val="24"/>
                <w:szCs w:val="24"/>
              </w:rPr>
            </w:pPr>
            <w:r w:rsidRPr="000C25E3">
              <w:rPr>
                <w:rFonts w:ascii="Times New Roman" w:eastAsia="Times New Roman" w:hAnsi="Times New Roman" w:cs="Times New Roman"/>
                <w:b/>
                <w:bCs/>
                <w:color w:val="FF0000"/>
                <w:sz w:val="24"/>
                <w:szCs w:val="24"/>
              </w:rPr>
              <w:t>Professional Responsibility</w:t>
            </w:r>
          </w:p>
        </w:tc>
      </w:tr>
      <w:tr w:rsidR="003E7B17" w:rsidRPr="000C25E3" w:rsidTr="001813E0">
        <w:trPr>
          <w:trHeight w:val="540"/>
          <w:tblHeader/>
        </w:trPr>
        <w:tc>
          <w:tcPr>
            <w:tcW w:w="7846"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962"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1962"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1962"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1964"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3E7B17" w:rsidRPr="000C25E3" w:rsidTr="001813E0">
        <w:trPr>
          <w:trHeight w:val="1384"/>
        </w:trPr>
        <w:tc>
          <w:tcPr>
            <w:tcW w:w="7846"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establish</w:t>
            </w:r>
            <w:proofErr w:type="gramEnd"/>
            <w:r w:rsidRPr="000C25E3">
              <w:rPr>
                <w:rFonts w:ascii="Times New Roman" w:eastAsia="Times New Roman" w:hAnsi="Times New Roman" w:cs="Times New Roman"/>
                <w:b/>
                <w:bCs/>
                <w:i/>
                <w:iCs/>
                <w:sz w:val="24"/>
                <w:szCs w:val="24"/>
              </w:rPr>
              <w:t xml:space="preserve"> opportunities for communication with parents and/or guardians, professional colleagues, and community members (newsletters, positive notes, extracurricular activities, professional development opportunities, conferences, etc.) to enhance resources, learning, and the learning environment.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10, TGR 9, TIAI 25)</w:t>
            </w:r>
          </w:p>
        </w:tc>
        <w:tc>
          <w:tcPr>
            <w:tcW w:w="196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96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96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96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3E7B17" w:rsidRPr="000C25E3" w:rsidTr="001813E0">
        <w:trPr>
          <w:trHeight w:val="1102"/>
        </w:trPr>
        <w:tc>
          <w:tcPr>
            <w:tcW w:w="7846"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3E7B17" w:rsidRPr="000C25E3" w:rsidRDefault="003E7B17" w:rsidP="003E7B17">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demonstrate</w:t>
            </w:r>
            <w:proofErr w:type="gramEnd"/>
            <w:r w:rsidRPr="000C25E3">
              <w:rPr>
                <w:rFonts w:ascii="Times New Roman" w:eastAsia="Times New Roman" w:hAnsi="Times New Roman" w:cs="Times New Roman"/>
                <w:b/>
                <w:bCs/>
                <w:i/>
                <w:iCs/>
                <w:sz w:val="24"/>
                <w:szCs w:val="24"/>
              </w:rPr>
              <w:t xml:space="preserve"> a spirit of inquiry and appreciation for research that promotes continuous improvement in my abilities to increase student learning outcomes.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9, TGR 8)</w:t>
            </w:r>
          </w:p>
        </w:tc>
        <w:tc>
          <w:tcPr>
            <w:tcW w:w="196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96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96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96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3E7B17" w:rsidRPr="000C25E3" w:rsidTr="001813E0">
        <w:trPr>
          <w:trHeight w:val="151"/>
        </w:trPr>
        <w:tc>
          <w:tcPr>
            <w:tcW w:w="7846" w:type="dxa"/>
            <w:tcBorders>
              <w:top w:val="single" w:sz="6" w:space="0" w:color="CCCCCC"/>
              <w:left w:val="single" w:sz="6" w:space="0" w:color="CCCCCC"/>
              <w:bottom w:val="single" w:sz="6" w:space="0" w:color="DEDEDE"/>
              <w:right w:val="single" w:sz="6" w:space="0" w:color="CCCCCC"/>
            </w:tcBorders>
            <w:shd w:val="clear" w:color="auto" w:fill="FFFFCF"/>
            <w:tcMar>
              <w:top w:w="120" w:type="dxa"/>
              <w:left w:w="120" w:type="dxa"/>
              <w:bottom w:w="120" w:type="dxa"/>
              <w:right w:w="120" w:type="dxa"/>
            </w:tcMar>
            <w:vAlign w:val="center"/>
            <w:hideMark/>
          </w:tcPr>
          <w:p w:rsidR="003E7B17" w:rsidRPr="000C25E3" w:rsidRDefault="000C25E3" w:rsidP="003E7B17">
            <w:pPr>
              <w:spacing w:after="216" w:line="240" w:lineRule="auto"/>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lastRenderedPageBreak/>
              <w:t>Recognize</w:t>
            </w:r>
            <w:r w:rsidR="003E7B17" w:rsidRPr="000C25E3">
              <w:rPr>
                <w:rFonts w:ascii="Times New Roman" w:eastAsia="Times New Roman" w:hAnsi="Times New Roman" w:cs="Times New Roman"/>
                <w:b/>
                <w:bCs/>
                <w:i/>
                <w:iCs/>
                <w:sz w:val="24"/>
                <w:szCs w:val="24"/>
              </w:rPr>
              <w:t xml:space="preserve"> the importance of the Mississippi Educator Code of Ethical Conduct, professional dispositions, and my influence as an adult role model for students. (CAEP 1.1, </w:t>
            </w:r>
            <w:proofErr w:type="spellStart"/>
            <w:r w:rsidR="003E7B17" w:rsidRPr="000C25E3">
              <w:rPr>
                <w:rFonts w:ascii="Times New Roman" w:eastAsia="Times New Roman" w:hAnsi="Times New Roman" w:cs="Times New Roman"/>
                <w:b/>
                <w:bCs/>
                <w:i/>
                <w:iCs/>
                <w:sz w:val="24"/>
                <w:szCs w:val="24"/>
              </w:rPr>
              <w:t>InTASC</w:t>
            </w:r>
            <w:proofErr w:type="spellEnd"/>
            <w:r w:rsidR="003E7B17" w:rsidRPr="000C25E3">
              <w:rPr>
                <w:rFonts w:ascii="Times New Roman" w:eastAsia="Times New Roman" w:hAnsi="Times New Roman" w:cs="Times New Roman"/>
                <w:b/>
                <w:bCs/>
                <w:i/>
                <w:iCs/>
                <w:sz w:val="24"/>
                <w:szCs w:val="24"/>
              </w:rPr>
              <w:t xml:space="preserve"> 9, TGR 8)</w:t>
            </w:r>
          </w:p>
        </w:tc>
        <w:tc>
          <w:tcPr>
            <w:tcW w:w="1962"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962"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962"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964"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3E7B17" w:rsidRPr="000C25E3" w:rsidRDefault="003E7B17" w:rsidP="003E7B17">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r>
    </w:tbl>
    <w:p w:rsidR="00F448E2" w:rsidRDefault="00F448E2">
      <w:pPr>
        <w:rPr>
          <w:sz w:val="24"/>
          <w:szCs w:val="24"/>
        </w:rPr>
      </w:pPr>
    </w:p>
    <w:p w:rsidR="00580DDB" w:rsidRDefault="00580DDB">
      <w:pPr>
        <w:rPr>
          <w:rFonts w:ascii="Times New Roman" w:hAnsi="Times New Roman" w:cs="Times New Roman"/>
          <w:b/>
          <w:sz w:val="24"/>
          <w:szCs w:val="24"/>
          <w:u w:val="single"/>
        </w:rPr>
      </w:pPr>
      <w:r w:rsidRPr="00580DDB">
        <w:rPr>
          <w:rFonts w:ascii="Times New Roman" w:hAnsi="Times New Roman" w:cs="Times New Roman"/>
          <w:b/>
          <w:sz w:val="24"/>
          <w:szCs w:val="24"/>
          <w:u w:val="single"/>
        </w:rPr>
        <w:t xml:space="preserve">Interpretation of the Data </w:t>
      </w:r>
    </w:p>
    <w:p w:rsidR="00580DDB" w:rsidRDefault="00580DDB">
      <w:pPr>
        <w:rPr>
          <w:rFonts w:ascii="Times New Roman" w:hAnsi="Times New Roman" w:cs="Times New Roman"/>
          <w:sz w:val="24"/>
          <w:szCs w:val="24"/>
        </w:rPr>
      </w:pPr>
      <w:r>
        <w:rPr>
          <w:rFonts w:ascii="Times New Roman" w:hAnsi="Times New Roman" w:cs="Times New Roman"/>
          <w:sz w:val="24"/>
          <w:szCs w:val="24"/>
        </w:rPr>
        <w:t xml:space="preserve">The EPP had four completers to submit responses to the Graduate survey within the three year cycle. Race and gender of completers are not provided or known. Three completers were Elementary Education and one was Secondary. Three were initial and one completer was Master’s level. Overall, completers score the EPP very well with most responses being “Agree” or “Strongly Agree”. </w:t>
      </w:r>
    </w:p>
    <w:p w:rsidR="00580DDB" w:rsidRPr="00580DDB" w:rsidRDefault="00580DDB">
      <w:pPr>
        <w:rPr>
          <w:rFonts w:ascii="Times New Roman" w:hAnsi="Times New Roman" w:cs="Times New Roman"/>
          <w:sz w:val="24"/>
          <w:szCs w:val="24"/>
        </w:rPr>
      </w:pPr>
      <w:r>
        <w:rPr>
          <w:rFonts w:ascii="Times New Roman" w:hAnsi="Times New Roman" w:cs="Times New Roman"/>
          <w:sz w:val="24"/>
          <w:szCs w:val="24"/>
        </w:rPr>
        <w:t xml:space="preserve">The EPP will use the information provided to continue to prepare candidates in content specific areas using technology to prepare completers to be effective teachers. </w:t>
      </w:r>
    </w:p>
    <w:sectPr w:rsidR="00580DDB" w:rsidRPr="00580DDB" w:rsidSect="003E7B1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D6" w:rsidRDefault="002B3DD6" w:rsidP="002B3DD6">
      <w:pPr>
        <w:spacing w:after="0" w:line="240" w:lineRule="auto"/>
      </w:pPr>
      <w:r>
        <w:separator/>
      </w:r>
    </w:p>
  </w:endnote>
  <w:endnote w:type="continuationSeparator" w:id="0">
    <w:p w:rsidR="002B3DD6" w:rsidRDefault="002B3DD6" w:rsidP="002B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37947"/>
      <w:docPartObj>
        <w:docPartGallery w:val="Page Numbers (Bottom of Page)"/>
        <w:docPartUnique/>
      </w:docPartObj>
    </w:sdtPr>
    <w:sdtEndPr>
      <w:rPr>
        <w:noProof/>
      </w:rPr>
    </w:sdtEndPr>
    <w:sdtContent>
      <w:p w:rsidR="002B3DD6" w:rsidRDefault="002B3DD6">
        <w:pPr>
          <w:pStyle w:val="Footer"/>
          <w:jc w:val="right"/>
        </w:pPr>
        <w:r>
          <w:t xml:space="preserve">Graduate </w:t>
        </w:r>
        <w:proofErr w:type="gramStart"/>
        <w:r>
          <w:t xml:space="preserve">Survey  </w:t>
        </w:r>
        <w:proofErr w:type="gramEnd"/>
        <w:r>
          <w:fldChar w:fldCharType="begin"/>
        </w:r>
        <w:r>
          <w:instrText xml:space="preserve"> PAGE   \* MERGEFORMAT </w:instrText>
        </w:r>
        <w:r>
          <w:fldChar w:fldCharType="separate"/>
        </w:r>
        <w:r>
          <w:rPr>
            <w:noProof/>
          </w:rPr>
          <w:t>2</w:t>
        </w:r>
        <w:r>
          <w:rPr>
            <w:noProof/>
          </w:rPr>
          <w:fldChar w:fldCharType="end"/>
        </w:r>
      </w:p>
    </w:sdtContent>
  </w:sdt>
  <w:p w:rsidR="002B3DD6" w:rsidRDefault="002B3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D6" w:rsidRDefault="002B3DD6" w:rsidP="002B3DD6">
      <w:pPr>
        <w:spacing w:after="0" w:line="240" w:lineRule="auto"/>
      </w:pPr>
      <w:r>
        <w:separator/>
      </w:r>
    </w:p>
  </w:footnote>
  <w:footnote w:type="continuationSeparator" w:id="0">
    <w:p w:rsidR="002B3DD6" w:rsidRDefault="002B3DD6" w:rsidP="002B3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54885"/>
    <w:multiLevelType w:val="multilevel"/>
    <w:tmpl w:val="BE7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17"/>
    <w:rsid w:val="000C25E3"/>
    <w:rsid w:val="001813E0"/>
    <w:rsid w:val="002200D5"/>
    <w:rsid w:val="00276387"/>
    <w:rsid w:val="002B3DD6"/>
    <w:rsid w:val="003E7B17"/>
    <w:rsid w:val="00447D59"/>
    <w:rsid w:val="00580DDB"/>
    <w:rsid w:val="00F4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0D5"/>
    <w:rPr>
      <w:rFonts w:ascii="Tahoma" w:hAnsi="Tahoma" w:cs="Tahoma"/>
      <w:sz w:val="16"/>
      <w:szCs w:val="16"/>
    </w:rPr>
  </w:style>
  <w:style w:type="paragraph" w:styleId="Header">
    <w:name w:val="header"/>
    <w:basedOn w:val="Normal"/>
    <w:link w:val="HeaderChar"/>
    <w:uiPriority w:val="99"/>
    <w:unhideWhenUsed/>
    <w:rsid w:val="002B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D6"/>
  </w:style>
  <w:style w:type="paragraph" w:styleId="Footer">
    <w:name w:val="footer"/>
    <w:basedOn w:val="Normal"/>
    <w:link w:val="FooterChar"/>
    <w:uiPriority w:val="99"/>
    <w:unhideWhenUsed/>
    <w:rsid w:val="002B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0D5"/>
    <w:rPr>
      <w:rFonts w:ascii="Tahoma" w:hAnsi="Tahoma" w:cs="Tahoma"/>
      <w:sz w:val="16"/>
      <w:szCs w:val="16"/>
    </w:rPr>
  </w:style>
  <w:style w:type="paragraph" w:styleId="Header">
    <w:name w:val="header"/>
    <w:basedOn w:val="Normal"/>
    <w:link w:val="HeaderChar"/>
    <w:uiPriority w:val="99"/>
    <w:unhideWhenUsed/>
    <w:rsid w:val="002B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D6"/>
  </w:style>
  <w:style w:type="paragraph" w:styleId="Footer">
    <w:name w:val="footer"/>
    <w:basedOn w:val="Normal"/>
    <w:link w:val="FooterChar"/>
    <w:uiPriority w:val="99"/>
    <w:unhideWhenUsed/>
    <w:rsid w:val="002B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544">
      <w:bodyDiv w:val="1"/>
      <w:marLeft w:val="0"/>
      <w:marRight w:val="0"/>
      <w:marTop w:val="0"/>
      <w:marBottom w:val="0"/>
      <w:divBdr>
        <w:top w:val="none" w:sz="0" w:space="0" w:color="auto"/>
        <w:left w:val="none" w:sz="0" w:space="0" w:color="auto"/>
        <w:bottom w:val="none" w:sz="0" w:space="0" w:color="auto"/>
        <w:right w:val="none" w:sz="0" w:space="0" w:color="auto"/>
      </w:divBdr>
      <w:divsChild>
        <w:div w:id="921258484">
          <w:marLeft w:val="0"/>
          <w:marRight w:val="0"/>
          <w:marTop w:val="0"/>
          <w:marBottom w:val="0"/>
          <w:divBdr>
            <w:top w:val="none" w:sz="0" w:space="0" w:color="auto"/>
            <w:left w:val="none" w:sz="0" w:space="0" w:color="auto"/>
            <w:bottom w:val="none" w:sz="0" w:space="0" w:color="auto"/>
            <w:right w:val="none" w:sz="0" w:space="0" w:color="auto"/>
          </w:divBdr>
        </w:div>
        <w:div w:id="216939403">
          <w:marLeft w:val="0"/>
          <w:marRight w:val="0"/>
          <w:marTop w:val="0"/>
          <w:marBottom w:val="0"/>
          <w:divBdr>
            <w:top w:val="none" w:sz="0" w:space="0" w:color="auto"/>
            <w:left w:val="none" w:sz="0" w:space="0" w:color="auto"/>
            <w:bottom w:val="none" w:sz="0" w:space="0" w:color="auto"/>
            <w:right w:val="none" w:sz="0" w:space="0" w:color="auto"/>
          </w:divBdr>
        </w:div>
        <w:div w:id="1724282114">
          <w:marLeft w:val="0"/>
          <w:marRight w:val="0"/>
          <w:marTop w:val="0"/>
          <w:marBottom w:val="0"/>
          <w:divBdr>
            <w:top w:val="none" w:sz="0" w:space="0" w:color="auto"/>
            <w:left w:val="none" w:sz="0" w:space="0" w:color="auto"/>
            <w:bottom w:val="none" w:sz="0" w:space="0" w:color="auto"/>
            <w:right w:val="none" w:sz="0" w:space="0" w:color="auto"/>
          </w:divBdr>
        </w:div>
        <w:div w:id="1742217644">
          <w:marLeft w:val="0"/>
          <w:marRight w:val="0"/>
          <w:marTop w:val="0"/>
          <w:marBottom w:val="0"/>
          <w:divBdr>
            <w:top w:val="none" w:sz="0" w:space="0" w:color="auto"/>
            <w:left w:val="none" w:sz="0" w:space="0" w:color="auto"/>
            <w:bottom w:val="none" w:sz="0" w:space="0" w:color="auto"/>
            <w:right w:val="none" w:sz="0" w:space="0" w:color="auto"/>
          </w:divBdr>
        </w:div>
        <w:div w:id="1505363013">
          <w:marLeft w:val="0"/>
          <w:marRight w:val="0"/>
          <w:marTop w:val="0"/>
          <w:marBottom w:val="0"/>
          <w:divBdr>
            <w:top w:val="none" w:sz="0" w:space="0" w:color="auto"/>
            <w:left w:val="none" w:sz="0" w:space="0" w:color="auto"/>
            <w:bottom w:val="none" w:sz="0" w:space="0" w:color="auto"/>
            <w:right w:val="none" w:sz="0" w:space="0" w:color="auto"/>
          </w:divBdr>
        </w:div>
        <w:div w:id="143609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5</cp:revision>
  <cp:lastPrinted>2021-08-19T20:22:00Z</cp:lastPrinted>
  <dcterms:created xsi:type="dcterms:W3CDTF">2021-08-19T16:52:00Z</dcterms:created>
  <dcterms:modified xsi:type="dcterms:W3CDTF">2021-09-09T19:30:00Z</dcterms:modified>
</cp:coreProperties>
</file>